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spacing w:line="48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color w:val="000000"/>
          <w:sz w:val="44"/>
          <w:szCs w:val="44"/>
        </w:rPr>
        <w:t>校园呼吸道传染病防控</w:t>
      </w:r>
      <w:r>
        <w:rPr>
          <w:rFonts w:hint="eastAsia" w:ascii="宋体" w:hAnsi="宋体" w:eastAsia="宋体"/>
          <w:b/>
          <w:sz w:val="44"/>
          <w:szCs w:val="44"/>
        </w:rPr>
        <w:t>传播材料要求</w:t>
      </w:r>
    </w:p>
    <w:p>
      <w:pPr>
        <w:spacing w:line="48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</w:t>
      </w:r>
      <w:r>
        <w:rPr>
          <w:rFonts w:ascii="黑体" w:hAnsi="黑体" w:eastAsia="黑体"/>
          <w:szCs w:val="32"/>
        </w:rPr>
        <w:t>、图文类材料</w:t>
      </w:r>
    </w:p>
    <w:p>
      <w:pPr>
        <w:spacing w:line="48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以校园呼吸道传染病防控为主题的海报、折页、手册、H5、科普文章、一图读懂等科普图文。</w:t>
      </w:r>
    </w:p>
    <w:p>
      <w:pPr>
        <w:spacing w:line="480" w:lineRule="exact"/>
        <w:ind w:firstLine="64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1.</w:t>
      </w:r>
      <w:r>
        <w:rPr>
          <w:rFonts w:hint="eastAsia" w:ascii="仿宋_GB2312" w:hAnsi="仿宋_GB2312" w:cs="仿宋_GB2312"/>
          <w:color w:val="000000"/>
          <w:szCs w:val="32"/>
          <w:lang w:val="zh-TW"/>
        </w:rPr>
        <w:t>科普文章以</w:t>
      </w:r>
      <w:r>
        <w:rPr>
          <w:rFonts w:hint="eastAsia" w:ascii="仿宋_GB2312" w:hAnsi="仿宋_GB2312" w:cs="仿宋_GB2312"/>
          <w:color w:val="000000"/>
          <w:szCs w:val="32"/>
        </w:rPr>
        <w:t>文字形式（Word文档）</w:t>
      </w:r>
      <w:r>
        <w:rPr>
          <w:rFonts w:hint="eastAsia" w:ascii="仿宋_GB2312" w:hAnsi="仿宋_GB2312" w:cs="仿宋_GB2312"/>
          <w:color w:val="000000"/>
          <w:szCs w:val="32"/>
          <w:lang w:val="zh-TW"/>
        </w:rPr>
        <w:t>报送</w:t>
      </w:r>
      <w:r>
        <w:rPr>
          <w:rFonts w:hint="eastAsia" w:ascii="仿宋_GB2312" w:hAnsi="仿宋_GB2312" w:cs="仿宋_GB2312"/>
          <w:color w:val="000000"/>
          <w:szCs w:val="32"/>
        </w:rPr>
        <w:t>，字数在1000-1500字之间，并</w:t>
      </w:r>
      <w:r>
        <w:rPr>
          <w:rFonts w:hint="eastAsia" w:ascii="仿宋_GB2312" w:hAnsi="仿宋_GB2312" w:cs="仿宋_GB2312"/>
          <w:color w:val="000000"/>
          <w:szCs w:val="32"/>
          <w:lang w:val="zh-TW"/>
        </w:rPr>
        <w:t>附刊载页面图片或者刊载网址链接。</w:t>
      </w:r>
    </w:p>
    <w:p>
      <w:pPr>
        <w:spacing w:line="480" w:lineRule="exact"/>
        <w:ind w:firstLine="640"/>
        <w:rPr>
          <w:rFonts w:ascii="仿宋_GB2312" w:hAnsi="仿宋_GB2312" w:cs="仿宋_GB2312"/>
          <w:color w:val="000000"/>
          <w:szCs w:val="32"/>
          <w:lang w:val="zh-TW"/>
        </w:rPr>
      </w:pPr>
      <w:r>
        <w:rPr>
          <w:rFonts w:hint="eastAsia" w:ascii="仿宋_GB2312" w:hAnsi="仿宋_GB2312" w:cs="仿宋_GB2312"/>
          <w:color w:val="000000"/>
          <w:szCs w:val="32"/>
        </w:rPr>
        <w:t>2.H5</w:t>
      </w:r>
      <w:r>
        <w:rPr>
          <w:rFonts w:hint="eastAsia" w:ascii="仿宋_GB2312" w:hAnsi="仿宋_GB2312" w:cs="仿宋_GB2312"/>
          <w:color w:val="000000"/>
          <w:szCs w:val="32"/>
          <w:lang w:val="zh-TW" w:eastAsia="zh-TW"/>
        </w:rPr>
        <w:t>交互页面类宣传材料以二维码或网址链接的形式上报，并附每</w:t>
      </w:r>
      <w:r>
        <w:rPr>
          <w:rFonts w:hint="eastAsia" w:ascii="仿宋_GB2312" w:hAnsi="仿宋_GB2312" w:cs="仿宋_GB2312"/>
          <w:color w:val="000000"/>
          <w:szCs w:val="32"/>
        </w:rPr>
        <w:t>页</w:t>
      </w:r>
      <w:r>
        <w:rPr>
          <w:rFonts w:hint="eastAsia" w:ascii="仿宋_GB2312" w:hAnsi="仿宋_GB2312" w:cs="仿宋_GB2312"/>
          <w:color w:val="000000"/>
          <w:szCs w:val="32"/>
          <w:lang w:val="zh-TW" w:eastAsia="zh-TW"/>
        </w:rPr>
        <w:t>截图（将二维码或网址链接及截图</w:t>
      </w:r>
      <w:r>
        <w:rPr>
          <w:rFonts w:hint="eastAsia" w:ascii="仿宋_GB2312" w:hAnsi="仿宋_GB2312" w:cs="仿宋_GB2312"/>
          <w:color w:val="000000"/>
          <w:szCs w:val="32"/>
          <w:lang w:val="zh-TW"/>
        </w:rPr>
        <w:t>粘贴</w:t>
      </w:r>
      <w:r>
        <w:rPr>
          <w:rFonts w:hint="eastAsia" w:ascii="仿宋_GB2312" w:hAnsi="仿宋_GB2312" w:cs="仿宋_GB2312"/>
          <w:color w:val="000000"/>
          <w:szCs w:val="32"/>
          <w:lang w:val="zh-TW" w:eastAsia="zh-TW"/>
        </w:rPr>
        <w:t>到一个</w:t>
      </w:r>
      <w:r>
        <w:rPr>
          <w:rFonts w:hint="eastAsia" w:ascii="仿宋_GB2312" w:hAnsi="仿宋_GB2312" w:cs="仿宋_GB2312"/>
          <w:color w:val="000000"/>
          <w:szCs w:val="32"/>
          <w:lang w:val="zh-TW"/>
        </w:rPr>
        <w:t>W</w:t>
      </w:r>
      <w:r>
        <w:rPr>
          <w:rFonts w:hint="eastAsia" w:ascii="仿宋_GB2312" w:hAnsi="仿宋_GB2312" w:cs="仿宋_GB2312"/>
          <w:color w:val="000000"/>
          <w:szCs w:val="32"/>
          <w:lang w:val="zh-TW" w:eastAsia="zh-TW"/>
        </w:rPr>
        <w:t>ord文件中）</w:t>
      </w:r>
      <w:r>
        <w:rPr>
          <w:rFonts w:hint="eastAsia" w:ascii="仿宋_GB2312" w:hAnsi="仿宋_GB2312" w:cs="仿宋_GB2312"/>
          <w:color w:val="000000"/>
          <w:szCs w:val="32"/>
          <w:lang w:val="zh-TW"/>
        </w:rPr>
        <w:t>。</w:t>
      </w:r>
      <w:r>
        <w:rPr>
          <w:rFonts w:hint="eastAsia" w:ascii="仿宋_GB2312" w:hAnsi="仿宋_GB2312" w:cs="仿宋_GB2312"/>
          <w:color w:val="000000"/>
          <w:szCs w:val="32"/>
        </w:rPr>
        <w:t>H5</w:t>
      </w:r>
      <w:r>
        <w:rPr>
          <w:rFonts w:hint="eastAsia" w:ascii="仿宋_GB2312" w:hAnsi="仿宋_GB2312" w:cs="仿宋_GB2312"/>
          <w:color w:val="000000"/>
          <w:szCs w:val="32"/>
          <w:lang w:val="zh-TW" w:eastAsia="zh-TW"/>
        </w:rPr>
        <w:t>原则上页面不少于</w:t>
      </w:r>
      <w:r>
        <w:rPr>
          <w:rFonts w:hint="eastAsia" w:ascii="仿宋_GB2312" w:hAnsi="仿宋_GB2312" w:cs="仿宋_GB2312"/>
          <w:color w:val="000000"/>
          <w:szCs w:val="32"/>
        </w:rPr>
        <w:t>6</w:t>
      </w:r>
      <w:r>
        <w:rPr>
          <w:rFonts w:hint="eastAsia" w:ascii="仿宋_GB2312" w:hAnsi="仿宋_GB2312" w:cs="仿宋_GB2312"/>
          <w:color w:val="000000"/>
          <w:szCs w:val="32"/>
          <w:lang w:val="zh-TW" w:eastAsia="zh-TW"/>
        </w:rPr>
        <w:t>页（含封面、封底），总页面控制在</w:t>
      </w:r>
      <w:r>
        <w:rPr>
          <w:rFonts w:hint="eastAsia" w:ascii="仿宋_GB2312" w:hAnsi="仿宋_GB2312" w:cs="仿宋_GB2312"/>
          <w:color w:val="000000"/>
          <w:szCs w:val="32"/>
        </w:rPr>
        <w:t>15</w:t>
      </w:r>
      <w:r>
        <w:rPr>
          <w:rFonts w:hint="eastAsia" w:ascii="仿宋_GB2312" w:hAnsi="仿宋_GB2312" w:cs="仿宋_GB2312"/>
          <w:color w:val="000000"/>
          <w:szCs w:val="32"/>
          <w:lang w:val="zh-TW" w:eastAsia="zh-TW"/>
        </w:rPr>
        <w:t>页以内</w:t>
      </w:r>
      <w:r>
        <w:rPr>
          <w:rFonts w:hint="eastAsia" w:ascii="仿宋_GB2312" w:hAnsi="仿宋_GB2312" w:cs="仿宋_GB2312"/>
          <w:color w:val="000000"/>
          <w:szCs w:val="32"/>
          <w:lang w:val="zh-TW"/>
        </w:rPr>
        <w:t>。</w:t>
      </w:r>
      <w:r>
        <w:rPr>
          <w:rFonts w:hint="eastAsia" w:ascii="仿宋_GB2312" w:hAnsi="仿宋_GB2312" w:cs="仿宋_GB2312"/>
          <w:color w:val="000000"/>
          <w:szCs w:val="32"/>
        </w:rPr>
        <w:t>H5</w:t>
      </w:r>
      <w:r>
        <w:rPr>
          <w:rFonts w:hint="eastAsia" w:ascii="仿宋_GB2312" w:hAnsi="仿宋_GB2312" w:cs="仿宋_GB2312"/>
          <w:color w:val="000000"/>
          <w:szCs w:val="32"/>
          <w:lang w:val="zh-TW" w:eastAsia="zh-TW"/>
        </w:rPr>
        <w:t>须能够在</w:t>
      </w:r>
      <w:r>
        <w:rPr>
          <w:rFonts w:hint="eastAsia" w:ascii="仿宋_GB2312" w:hAnsi="仿宋_GB2312" w:cs="仿宋_GB2312"/>
          <w:color w:val="000000"/>
          <w:szCs w:val="32"/>
        </w:rPr>
        <w:t>IOS</w:t>
      </w:r>
      <w:r>
        <w:rPr>
          <w:rFonts w:hint="eastAsia" w:ascii="仿宋_GB2312" w:hAnsi="仿宋_GB2312" w:cs="仿宋_GB2312"/>
          <w:color w:val="000000"/>
          <w:szCs w:val="32"/>
          <w:lang w:val="zh-TW"/>
        </w:rPr>
        <w:t>、</w:t>
      </w:r>
      <w:r>
        <w:rPr>
          <w:rFonts w:hint="eastAsia" w:ascii="仿宋_GB2312" w:hAnsi="仿宋_GB2312" w:cs="仿宋_GB2312"/>
          <w:color w:val="000000"/>
          <w:szCs w:val="32"/>
        </w:rPr>
        <w:t>Android</w:t>
      </w:r>
      <w:r>
        <w:rPr>
          <w:rFonts w:hint="eastAsia" w:ascii="仿宋_GB2312" w:hAnsi="仿宋_GB2312" w:cs="仿宋_GB2312"/>
          <w:color w:val="000000"/>
          <w:szCs w:val="32"/>
          <w:lang w:val="zh-TW" w:eastAsia="zh-TW"/>
        </w:rPr>
        <w:t>主流移动设备上正确显示。</w:t>
      </w:r>
    </w:p>
    <w:p>
      <w:pPr>
        <w:spacing w:line="480" w:lineRule="exact"/>
        <w:ind w:firstLine="640"/>
        <w:rPr>
          <w:rFonts w:ascii="仿宋_GB2312" w:hAnsi="仿宋_GB2312" w:cs="仿宋_GB2312"/>
          <w:color w:val="000000"/>
          <w:szCs w:val="32"/>
          <w:lang w:val="zh-TW" w:eastAsia="zh-TW"/>
        </w:rPr>
      </w:pPr>
      <w:r>
        <w:rPr>
          <w:rFonts w:hint="eastAsia" w:ascii="仿宋_GB2312" w:hAnsi="仿宋_GB2312" w:cs="仿宋_GB2312"/>
          <w:color w:val="000000"/>
          <w:szCs w:val="32"/>
        </w:rPr>
        <w:t>3.其他材料</w:t>
      </w:r>
      <w:r>
        <w:rPr>
          <w:rFonts w:hint="eastAsia" w:ascii="仿宋_GB2312" w:hAnsi="仿宋_GB2312" w:cs="仿宋_GB2312"/>
          <w:color w:val="000000"/>
          <w:szCs w:val="32"/>
          <w:lang w:val="zh-TW" w:eastAsia="zh-TW"/>
        </w:rPr>
        <w:t>需</w:t>
      </w:r>
      <w:r>
        <w:rPr>
          <w:rFonts w:hint="eastAsia" w:ascii="仿宋_GB2312" w:hAnsi="仿宋_GB2312" w:cs="仿宋_GB2312"/>
          <w:color w:val="000000"/>
          <w:szCs w:val="32"/>
          <w:lang w:val="zh-TW"/>
        </w:rPr>
        <w:t>报送</w:t>
      </w:r>
      <w:r>
        <w:rPr>
          <w:rFonts w:hint="eastAsia" w:ascii="仿宋_GB2312" w:hAnsi="仿宋_GB2312" w:cs="仿宋_GB2312"/>
          <w:color w:val="000000"/>
          <w:szCs w:val="32"/>
        </w:rPr>
        <w:t>PDF/JPG</w:t>
      </w:r>
      <w:r>
        <w:rPr>
          <w:rFonts w:hint="eastAsia" w:ascii="仿宋_GB2312" w:hAnsi="仿宋_GB2312" w:cs="仿宋_GB2312"/>
          <w:color w:val="000000"/>
          <w:szCs w:val="32"/>
          <w:lang w:val="zh-TW" w:eastAsia="zh-TW"/>
        </w:rPr>
        <w:t>格式文件</w:t>
      </w:r>
      <w:r>
        <w:rPr>
          <w:rFonts w:hint="eastAsia" w:ascii="仿宋_GB2312" w:hAnsi="仿宋_GB2312" w:cs="仿宋_GB2312"/>
          <w:color w:val="000000"/>
          <w:szCs w:val="32"/>
          <w:lang w:val="zh-TW"/>
        </w:rPr>
        <w:t>。</w:t>
      </w:r>
    </w:p>
    <w:p>
      <w:pPr>
        <w:spacing w:line="48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二、视频类材料</w:t>
      </w:r>
    </w:p>
    <w:p>
      <w:pPr>
        <w:spacing w:line="48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以校园呼吸道传染病防控为主题的知识讲解、公益广告、微视频、微电影、动漫等科普视频。</w:t>
      </w:r>
    </w:p>
    <w:p>
      <w:pPr>
        <w:spacing w:line="48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1.视频画面质量优，构图合理，声音清晰，配有字幕或配音，无水印，可供二次传播使用。</w:t>
      </w:r>
    </w:p>
    <w:p>
      <w:pPr>
        <w:spacing w:line="48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2.视频时长原则上不超过10分钟。系列视频作为一种材料报送。</w:t>
      </w:r>
    </w:p>
    <w:p>
      <w:pPr>
        <w:spacing w:line="48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3.视频格式为MOV、MP4等1080P高清影像，图像尺寸为4:3或16:9。</w:t>
      </w:r>
    </w:p>
    <w:p>
      <w:pPr>
        <w:spacing w:line="48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三、科普课件</w:t>
      </w:r>
    </w:p>
    <w:p>
      <w:pPr>
        <w:spacing w:line="480" w:lineRule="exact"/>
        <w:ind w:firstLine="640" w:firstLineChars="200"/>
        <w:rPr>
          <w:rFonts w:ascii="仿宋_GB2312" w:hAnsi="仿宋_GB2312" w:cs="仿宋_GB2312"/>
          <w:szCs w:val="32"/>
          <w:lang w:val="zh-TW"/>
        </w:rPr>
      </w:pPr>
      <w:r>
        <w:rPr>
          <w:rFonts w:hint="eastAsia" w:ascii="仿宋" w:hAnsi="仿宋" w:eastAsia="仿宋"/>
          <w:szCs w:val="32"/>
        </w:rPr>
        <w:t>以校园呼吸道传染病防控为主题的PPT科普课件。</w:t>
      </w:r>
    </w:p>
    <w:p>
      <w:pPr>
        <w:spacing w:line="48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</w:t>
      </w:r>
      <w:r>
        <w:rPr>
          <w:rFonts w:hint="eastAsia" w:ascii="仿宋" w:hAnsi="仿宋" w:eastAsia="仿宋"/>
          <w:szCs w:val="32"/>
        </w:rPr>
        <w:t>课件内容要求主题鲜明、通俗易懂、科学性、新颖性、艺术性强。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283" w:footer="283" w:gutter="0"/>
          <w:cols w:space="720" w:num="1"/>
          <w:docGrid w:type="lines" w:linePitch="435" w:charSpace="0"/>
        </w:sectPr>
      </w:pPr>
      <w:r>
        <w:rPr>
          <w:rFonts w:hint="eastAsia" w:ascii="仿宋_GB2312" w:hAnsi="仿宋_GB2312" w:cs="仿宋_GB2312"/>
          <w:szCs w:val="32"/>
        </w:rPr>
        <w:t>2.PPT</w:t>
      </w:r>
      <w:r>
        <w:rPr>
          <w:rFonts w:hint="eastAsia" w:ascii="仿宋_GB2312" w:hAnsi="仿宋_GB2312" w:cs="仿宋_GB2312"/>
          <w:szCs w:val="32"/>
          <w:lang w:val="zh-TW" w:eastAsia="zh-TW"/>
        </w:rPr>
        <w:t>课件要求</w:t>
      </w:r>
      <w:r>
        <w:rPr>
          <w:rFonts w:hint="eastAsia" w:ascii="仿宋_GB2312" w:hAnsi="仿宋_GB2312" w:cs="仿宋_GB2312"/>
          <w:szCs w:val="32"/>
          <w:lang w:val="zh-TW"/>
        </w:rPr>
        <w:t>页数不超过</w:t>
      </w:r>
      <w:r>
        <w:rPr>
          <w:rFonts w:hint="eastAsia" w:ascii="仿宋_GB2312" w:hAnsi="仿宋_GB2312" w:cs="仿宋_GB2312"/>
          <w:szCs w:val="32"/>
        </w:rPr>
        <w:t>30张，</w:t>
      </w:r>
      <w:r>
        <w:rPr>
          <w:rFonts w:hint="eastAsia" w:ascii="仿宋_GB2312" w:hAnsi="仿宋_GB2312" w:cs="仿宋_GB2312"/>
          <w:szCs w:val="32"/>
          <w:lang w:val="zh-TW" w:eastAsia="zh-TW"/>
        </w:rPr>
        <w:t>每张幻灯片的备注要说明讲课要点</w:t>
      </w:r>
      <w:r>
        <w:rPr>
          <w:rFonts w:hint="eastAsia" w:ascii="仿宋_GB2312" w:hAnsi="仿宋_GB2312" w:cs="仿宋_GB2312"/>
          <w:szCs w:val="32"/>
          <w:lang w:val="zh-TW"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NGQ2YjcyMWU1NWIwNWM4NzY3M2VhMzYzNzIyMTUifQ=="/>
  </w:docVars>
  <w:rsids>
    <w:rsidRoot w:val="32D62B12"/>
    <w:rsid w:val="32D6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2023-01-04T03:02:00Z</dcterms:created>
  <dc:creator>罗</dc:creator>
  <cp:lastModifiedBy>罗</cp:lastModifiedBy>
  <dcterms:modified xsi:type="dcterms:W3CDTF">2023-01-04T03:03:47Z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C81D604250EF471DA7731C57B3FFB60D</vt:lpwstr>
  </property>
</Properties>
</file>